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34B09" w14:textId="77777777" w:rsidR="00F51D2E" w:rsidRPr="000530CB" w:rsidRDefault="00AF04AB" w:rsidP="00AF04AB">
      <w:pPr>
        <w:jc w:val="center"/>
        <w:rPr>
          <w:rFonts w:cs="Arial"/>
          <w:b/>
          <w:u w:val="single"/>
        </w:rPr>
      </w:pPr>
      <w:r w:rsidRPr="000530CB">
        <w:rPr>
          <w:rFonts w:cs="Arial"/>
          <w:b/>
          <w:u w:val="single"/>
        </w:rPr>
        <w:t>Standard clauses f</w:t>
      </w:r>
      <w:r w:rsidR="000548A8" w:rsidRPr="000530CB">
        <w:rPr>
          <w:rFonts w:cs="Arial"/>
          <w:b/>
          <w:u w:val="single"/>
        </w:rPr>
        <w:t xml:space="preserve">or </w:t>
      </w:r>
      <w:r w:rsidR="009C2913" w:rsidRPr="000530CB">
        <w:rPr>
          <w:rFonts w:cs="Arial"/>
          <w:b/>
          <w:u w:val="single"/>
        </w:rPr>
        <w:t xml:space="preserve">company </w:t>
      </w:r>
      <w:r w:rsidR="00793841" w:rsidRPr="000530CB">
        <w:rPr>
          <w:rFonts w:cs="Arial"/>
          <w:b/>
          <w:u w:val="single"/>
        </w:rPr>
        <w:t>constitution</w:t>
      </w:r>
      <w:r w:rsidR="000548A8" w:rsidRPr="000530CB">
        <w:rPr>
          <w:rFonts w:cs="Arial"/>
          <w:b/>
          <w:u w:val="single"/>
        </w:rPr>
        <w:t>s</w:t>
      </w:r>
    </w:p>
    <w:p w14:paraId="46728E0F" w14:textId="77777777" w:rsidR="00AF04AB" w:rsidRPr="000530CB" w:rsidRDefault="00AF04AB" w:rsidP="00AF04AB">
      <w:pPr>
        <w:pStyle w:val="Heading3"/>
        <w:rPr>
          <w:rFonts w:asciiTheme="minorHAnsi" w:hAnsiTheme="minorHAnsi" w:cs="Arial"/>
          <w:sz w:val="22"/>
        </w:rPr>
      </w:pPr>
    </w:p>
    <w:p w14:paraId="33C09D9B" w14:textId="77777777" w:rsidR="00AF04AB" w:rsidRPr="000530CB" w:rsidRDefault="00AF04AB" w:rsidP="00AF04AB">
      <w:pPr>
        <w:rPr>
          <w:rFonts w:cs="Arial"/>
          <w:u w:val="single"/>
        </w:rPr>
      </w:pPr>
      <w:r w:rsidRPr="000530CB">
        <w:rPr>
          <w:rFonts w:cs="Arial"/>
          <w:u w:val="single"/>
        </w:rPr>
        <w:t>Income and Property</w:t>
      </w:r>
    </w:p>
    <w:p w14:paraId="7F6B1A12" w14:textId="77777777" w:rsidR="00693835" w:rsidRPr="000530CB" w:rsidRDefault="00AF04AB" w:rsidP="00AF04AB">
      <w:pPr>
        <w:rPr>
          <w:rFonts w:cs="Arial"/>
        </w:rPr>
      </w:pPr>
      <w:r w:rsidRPr="000530CB">
        <w:rPr>
          <w:rFonts w:cs="Arial"/>
        </w:rPr>
        <w:t>The income and pr</w:t>
      </w:r>
      <w:r w:rsidR="00EB02BC" w:rsidRPr="000530CB">
        <w:rPr>
          <w:rFonts w:cs="Arial"/>
        </w:rPr>
        <w:t>operty of the C</w:t>
      </w:r>
      <w:r w:rsidR="009C2913" w:rsidRPr="000530CB">
        <w:rPr>
          <w:rFonts w:cs="Arial"/>
        </w:rPr>
        <w:t>ompany</w:t>
      </w:r>
      <w:r w:rsidRPr="000530CB">
        <w:rPr>
          <w:rFonts w:cs="Arial"/>
        </w:rPr>
        <w:t xml:space="preserve"> shall be applied solely towards the promotion of main object(s) as s</w:t>
      </w:r>
      <w:r w:rsidR="009C2913" w:rsidRPr="000530CB">
        <w:rPr>
          <w:rFonts w:cs="Arial"/>
        </w:rPr>
        <w:t>et forth in this Constitution</w:t>
      </w:r>
      <w:r w:rsidRPr="000530CB">
        <w:rPr>
          <w:rFonts w:cs="Arial"/>
        </w:rPr>
        <w:t xml:space="preserve">.  No portion of the </w:t>
      </w:r>
      <w:r w:rsidR="00EB02BC" w:rsidRPr="000530CB">
        <w:rPr>
          <w:rFonts w:cs="Arial"/>
        </w:rPr>
        <w:t>C</w:t>
      </w:r>
      <w:r w:rsidR="009C2913" w:rsidRPr="000530CB">
        <w:rPr>
          <w:rFonts w:cs="Arial"/>
        </w:rPr>
        <w:t>ompany</w:t>
      </w:r>
      <w:r w:rsidRPr="000530CB">
        <w:rPr>
          <w:rFonts w:cs="Arial"/>
        </w:rPr>
        <w:t>’s income and property shall be paid or transferred directly or indirectly by way of dividend, bonus or otherwise howsoever by way of profit to m</w:t>
      </w:r>
      <w:r w:rsidR="00EB02BC" w:rsidRPr="000530CB">
        <w:rPr>
          <w:rFonts w:cs="Arial"/>
        </w:rPr>
        <w:t>embers of the C</w:t>
      </w:r>
      <w:r w:rsidR="009C2913" w:rsidRPr="000530CB">
        <w:rPr>
          <w:rFonts w:cs="Arial"/>
        </w:rPr>
        <w:t xml:space="preserve">ompany.  </w:t>
      </w:r>
    </w:p>
    <w:p w14:paraId="4AD431C7" w14:textId="77777777" w:rsidR="00AF04AB" w:rsidRPr="000530CB" w:rsidRDefault="00B53FED" w:rsidP="00AF04AB">
      <w:pPr>
        <w:rPr>
          <w:rFonts w:cs="Arial"/>
        </w:rPr>
      </w:pPr>
      <w:r w:rsidRPr="000530CB">
        <w:rPr>
          <w:rFonts w:cs="Arial"/>
          <w:color w:val="0D0D0D" w:themeColor="text1" w:themeTint="F2"/>
        </w:rPr>
        <w:t>No D</w:t>
      </w:r>
      <w:r w:rsidR="009C2913" w:rsidRPr="000530CB">
        <w:rPr>
          <w:rFonts w:cs="Arial"/>
          <w:color w:val="0D0D0D" w:themeColor="text1" w:themeTint="F2"/>
        </w:rPr>
        <w:t>irector</w:t>
      </w:r>
      <w:r w:rsidR="00AF04AB" w:rsidRPr="000530CB">
        <w:rPr>
          <w:rFonts w:cs="Arial"/>
        </w:rPr>
        <w:t xml:space="preserve"> shall be appointed to any office of the</w:t>
      </w:r>
      <w:r w:rsidR="00EB02BC" w:rsidRPr="000530CB">
        <w:rPr>
          <w:rFonts w:cs="Arial"/>
        </w:rPr>
        <w:t xml:space="preserve"> C</w:t>
      </w:r>
      <w:r w:rsidR="009C2913" w:rsidRPr="000530CB">
        <w:rPr>
          <w:rFonts w:cs="Arial"/>
        </w:rPr>
        <w:t>ompany</w:t>
      </w:r>
      <w:r w:rsidR="00AF04AB" w:rsidRPr="000530CB">
        <w:rPr>
          <w:rFonts w:cs="Arial"/>
        </w:rPr>
        <w:t xml:space="preserve"> paid by salary or fees, or receive any remuneration or other benefit in money or money’s w</w:t>
      </w:r>
      <w:r w:rsidR="00EB02BC" w:rsidRPr="000530CB">
        <w:rPr>
          <w:rFonts w:cs="Arial"/>
        </w:rPr>
        <w:t>orth from the C</w:t>
      </w:r>
      <w:r w:rsidR="009C2913" w:rsidRPr="000530CB">
        <w:rPr>
          <w:rFonts w:cs="Arial"/>
        </w:rPr>
        <w:t>ompany</w:t>
      </w:r>
      <w:r w:rsidR="00AF04AB" w:rsidRPr="000530CB">
        <w:rPr>
          <w:rFonts w:cs="Arial"/>
        </w:rPr>
        <w:t>.  However, nothing shall prevent an</w:t>
      </w:r>
      <w:r w:rsidR="00EB02BC" w:rsidRPr="000530CB">
        <w:rPr>
          <w:rFonts w:cs="Arial"/>
        </w:rPr>
        <w:t>y payment in good faith by the Company</w:t>
      </w:r>
      <w:r w:rsidR="00AF04AB" w:rsidRPr="000530CB">
        <w:rPr>
          <w:rFonts w:cs="Arial"/>
        </w:rPr>
        <w:t xml:space="preserve"> of:</w:t>
      </w:r>
      <w:r w:rsidR="00AF04AB" w:rsidRPr="000530CB">
        <w:rPr>
          <w:rFonts w:cs="Arial"/>
        </w:rPr>
        <w:br/>
      </w:r>
    </w:p>
    <w:p w14:paraId="49868844" w14:textId="77777777" w:rsidR="00AF04AB" w:rsidRPr="000530CB" w:rsidRDefault="00AF04AB" w:rsidP="00AF04AB">
      <w:pPr>
        <w:numPr>
          <w:ilvl w:val="0"/>
          <w:numId w:val="1"/>
        </w:numPr>
        <w:spacing w:after="120"/>
        <w:ind w:left="714" w:hanging="357"/>
        <w:rPr>
          <w:rFonts w:cs="Arial"/>
          <w:color w:val="0D0D0D" w:themeColor="text1" w:themeTint="F2"/>
        </w:rPr>
      </w:pPr>
      <w:r w:rsidRPr="000530CB">
        <w:rPr>
          <w:rFonts w:cs="Arial"/>
        </w:rPr>
        <w:t>reasonable and proper remuneration t</w:t>
      </w:r>
      <w:r w:rsidR="00EB02BC" w:rsidRPr="000530CB">
        <w:rPr>
          <w:rFonts w:cs="Arial"/>
        </w:rPr>
        <w:t>o any member or servant of the Company</w:t>
      </w:r>
      <w:r w:rsidR="00EC65BC" w:rsidRPr="000530CB">
        <w:rPr>
          <w:rFonts w:cs="Arial"/>
        </w:rPr>
        <w:t xml:space="preserve"> (</w:t>
      </w:r>
      <w:r w:rsidR="00EC65BC" w:rsidRPr="000530CB">
        <w:rPr>
          <w:rFonts w:cs="Arial"/>
          <w:color w:val="0D0D0D" w:themeColor="text1" w:themeTint="F2"/>
        </w:rPr>
        <w:t>not bei</w:t>
      </w:r>
      <w:r w:rsidR="00B53FED" w:rsidRPr="000530CB">
        <w:rPr>
          <w:rFonts w:cs="Arial"/>
          <w:color w:val="0D0D0D" w:themeColor="text1" w:themeTint="F2"/>
        </w:rPr>
        <w:t>ng a D</w:t>
      </w:r>
      <w:r w:rsidR="00EC65BC" w:rsidRPr="000530CB">
        <w:rPr>
          <w:rFonts w:cs="Arial"/>
          <w:color w:val="0D0D0D" w:themeColor="text1" w:themeTint="F2"/>
        </w:rPr>
        <w:t>irector</w:t>
      </w:r>
      <w:r w:rsidRPr="000530CB">
        <w:rPr>
          <w:rFonts w:cs="Arial"/>
          <w:color w:val="0D0D0D" w:themeColor="text1" w:themeTint="F2"/>
        </w:rPr>
        <w:t>) fo</w:t>
      </w:r>
      <w:r w:rsidR="00EB02BC" w:rsidRPr="000530CB">
        <w:rPr>
          <w:rFonts w:cs="Arial"/>
          <w:color w:val="0D0D0D" w:themeColor="text1" w:themeTint="F2"/>
        </w:rPr>
        <w:t>r any services rendered to the Company</w:t>
      </w:r>
      <w:r w:rsidRPr="000530CB">
        <w:rPr>
          <w:rFonts w:cs="Arial"/>
          <w:color w:val="0D0D0D" w:themeColor="text1" w:themeTint="F2"/>
        </w:rPr>
        <w:t>;</w:t>
      </w:r>
    </w:p>
    <w:p w14:paraId="492684E6" w14:textId="77777777" w:rsidR="00AF04AB" w:rsidRPr="000530CB" w:rsidRDefault="00AF04AB" w:rsidP="00AF04AB">
      <w:pPr>
        <w:numPr>
          <w:ilvl w:val="0"/>
          <w:numId w:val="1"/>
        </w:numPr>
        <w:spacing w:after="120"/>
        <w:ind w:left="714" w:hanging="357"/>
        <w:rPr>
          <w:rFonts w:cs="Arial"/>
        </w:rPr>
      </w:pPr>
      <w:r w:rsidRPr="000530CB">
        <w:rPr>
          <w:rFonts w:cs="Arial"/>
        </w:rPr>
        <w:t>interest at a rate not exceeding 1% above the Euro Interbank Offered Rate (</w:t>
      </w:r>
      <w:proofErr w:type="spellStart"/>
      <w:r w:rsidRPr="000530CB">
        <w:rPr>
          <w:rFonts w:cs="Arial"/>
        </w:rPr>
        <w:t>Euribor</w:t>
      </w:r>
      <w:proofErr w:type="spellEnd"/>
      <w:r w:rsidRPr="000530CB">
        <w:rPr>
          <w:rFonts w:cs="Arial"/>
        </w:rPr>
        <w:t xml:space="preserve">)  per annum on money lent </w:t>
      </w:r>
      <w:r w:rsidRPr="000530CB">
        <w:rPr>
          <w:rFonts w:cs="Arial"/>
          <w:color w:val="0D0D0D" w:themeColor="text1" w:themeTint="F2"/>
        </w:rPr>
        <w:t>b</w:t>
      </w:r>
      <w:r w:rsidR="00B53FED" w:rsidRPr="000530CB">
        <w:rPr>
          <w:rFonts w:cs="Arial"/>
          <w:color w:val="0D0D0D" w:themeColor="text1" w:themeTint="F2"/>
        </w:rPr>
        <w:t>y D</w:t>
      </w:r>
      <w:r w:rsidR="00EC65BC" w:rsidRPr="000530CB">
        <w:rPr>
          <w:rFonts w:cs="Arial"/>
          <w:color w:val="0D0D0D" w:themeColor="text1" w:themeTint="F2"/>
        </w:rPr>
        <w:t>irector</w:t>
      </w:r>
      <w:r w:rsidR="00EB02BC" w:rsidRPr="000530CB">
        <w:rPr>
          <w:rFonts w:cs="Arial"/>
          <w:color w:val="0D0D0D" w:themeColor="text1" w:themeTint="F2"/>
        </w:rPr>
        <w:t>s or</w:t>
      </w:r>
      <w:r w:rsidR="00EB02BC" w:rsidRPr="000530CB">
        <w:rPr>
          <w:rFonts w:cs="Arial"/>
        </w:rPr>
        <w:t xml:space="preserve"> other members of the Company to the Company</w:t>
      </w:r>
      <w:r w:rsidRPr="000530CB">
        <w:rPr>
          <w:rFonts w:cs="Arial"/>
        </w:rPr>
        <w:t>;</w:t>
      </w:r>
    </w:p>
    <w:p w14:paraId="65C5507B" w14:textId="77777777" w:rsidR="00AF04AB" w:rsidRPr="000530CB" w:rsidRDefault="00AF04AB" w:rsidP="00AF04AB">
      <w:pPr>
        <w:numPr>
          <w:ilvl w:val="0"/>
          <w:numId w:val="1"/>
        </w:numPr>
        <w:spacing w:after="120"/>
        <w:ind w:left="714" w:hanging="357"/>
        <w:rPr>
          <w:rFonts w:cs="Arial"/>
        </w:rPr>
      </w:pPr>
      <w:r w:rsidRPr="000530CB">
        <w:rPr>
          <w:rFonts w:cs="Arial"/>
        </w:rPr>
        <w:t>reasonable and proper rent for premises demise</w:t>
      </w:r>
      <w:r w:rsidR="00EB02BC" w:rsidRPr="000530CB">
        <w:rPr>
          <w:rFonts w:cs="Arial"/>
        </w:rPr>
        <w:t>d and let by any member of the Company</w:t>
      </w:r>
      <w:r w:rsidRPr="000530CB">
        <w:rPr>
          <w:rFonts w:cs="Arial"/>
        </w:rPr>
        <w:t xml:space="preserve"> (includi</w:t>
      </w:r>
      <w:r w:rsidR="00EC65BC" w:rsidRPr="000530CB">
        <w:rPr>
          <w:rFonts w:cs="Arial"/>
        </w:rPr>
        <w:t xml:space="preserve">ng </w:t>
      </w:r>
      <w:r w:rsidR="00EC65BC" w:rsidRPr="000530CB">
        <w:rPr>
          <w:rFonts w:cs="Arial"/>
          <w:color w:val="0D0D0D" w:themeColor="text1" w:themeTint="F2"/>
        </w:rPr>
        <w:t xml:space="preserve">any </w:t>
      </w:r>
      <w:r w:rsidR="00B53FED" w:rsidRPr="000530CB">
        <w:rPr>
          <w:rFonts w:cs="Arial"/>
          <w:color w:val="0D0D0D" w:themeColor="text1" w:themeTint="F2"/>
        </w:rPr>
        <w:t>D</w:t>
      </w:r>
      <w:r w:rsidR="00EC65BC" w:rsidRPr="000530CB">
        <w:rPr>
          <w:rFonts w:cs="Arial"/>
          <w:color w:val="0D0D0D" w:themeColor="text1" w:themeTint="F2"/>
        </w:rPr>
        <w:t>irector</w:t>
      </w:r>
      <w:r w:rsidR="00EB02BC" w:rsidRPr="000530CB">
        <w:rPr>
          <w:rFonts w:cs="Arial"/>
          <w:color w:val="0D0D0D" w:themeColor="text1" w:themeTint="F2"/>
        </w:rPr>
        <w:t>) to</w:t>
      </w:r>
      <w:r w:rsidR="00EB02BC" w:rsidRPr="000530CB">
        <w:rPr>
          <w:rFonts w:cs="Arial"/>
        </w:rPr>
        <w:t xml:space="preserve"> the Company</w:t>
      </w:r>
      <w:r w:rsidRPr="000530CB">
        <w:rPr>
          <w:rFonts w:cs="Arial"/>
        </w:rPr>
        <w:t>;</w:t>
      </w:r>
    </w:p>
    <w:p w14:paraId="5DAD7239" w14:textId="77777777" w:rsidR="00AF04AB" w:rsidRPr="000530CB" w:rsidRDefault="00AF04AB" w:rsidP="00AF04AB">
      <w:pPr>
        <w:numPr>
          <w:ilvl w:val="0"/>
          <w:numId w:val="1"/>
        </w:numPr>
        <w:spacing w:after="120"/>
        <w:ind w:left="714" w:hanging="357"/>
        <w:rPr>
          <w:rFonts w:cs="Arial"/>
        </w:rPr>
      </w:pPr>
      <w:r w:rsidRPr="000530CB">
        <w:rPr>
          <w:rFonts w:cs="Arial"/>
        </w:rPr>
        <w:t xml:space="preserve">reasonable and proper out-of-pocket expenses incurred by </w:t>
      </w:r>
      <w:r w:rsidRPr="000530CB">
        <w:rPr>
          <w:rFonts w:cs="Arial"/>
          <w:color w:val="0D0D0D" w:themeColor="text1" w:themeTint="F2"/>
        </w:rPr>
        <w:t xml:space="preserve">any </w:t>
      </w:r>
      <w:r w:rsidR="00B53FED" w:rsidRPr="000530CB">
        <w:rPr>
          <w:rFonts w:cs="Arial"/>
          <w:color w:val="0D0D0D" w:themeColor="text1" w:themeTint="F2"/>
        </w:rPr>
        <w:t>D</w:t>
      </w:r>
      <w:r w:rsidR="00EC65BC" w:rsidRPr="000530CB">
        <w:rPr>
          <w:rFonts w:cs="Arial"/>
          <w:color w:val="0D0D0D" w:themeColor="text1" w:themeTint="F2"/>
        </w:rPr>
        <w:t>irector</w:t>
      </w:r>
      <w:r w:rsidRPr="000530CB">
        <w:rPr>
          <w:rFonts w:cs="Arial"/>
          <w:color w:val="0D0D0D" w:themeColor="text1" w:themeTint="F2"/>
        </w:rPr>
        <w:t xml:space="preserve"> in</w:t>
      </w:r>
      <w:r w:rsidRPr="000530CB">
        <w:rPr>
          <w:rFonts w:cs="Arial"/>
        </w:rPr>
        <w:t xml:space="preserve"> connection with their attendan</w:t>
      </w:r>
      <w:r w:rsidR="00EB02BC" w:rsidRPr="000530CB">
        <w:rPr>
          <w:rFonts w:cs="Arial"/>
        </w:rPr>
        <w:t>ce to any matter affecting the Company</w:t>
      </w:r>
      <w:r w:rsidRPr="000530CB">
        <w:rPr>
          <w:rFonts w:cs="Arial"/>
        </w:rPr>
        <w:t xml:space="preserve">;  </w:t>
      </w:r>
    </w:p>
    <w:p w14:paraId="6203D1FE" w14:textId="77777777" w:rsidR="00AF04AB" w:rsidRPr="000530CB" w:rsidRDefault="00AF04AB" w:rsidP="00AF04AB">
      <w:pPr>
        <w:numPr>
          <w:ilvl w:val="0"/>
          <w:numId w:val="1"/>
        </w:numPr>
        <w:spacing w:after="120"/>
        <w:ind w:left="714" w:hanging="357"/>
        <w:rPr>
          <w:rFonts w:cs="Arial"/>
        </w:rPr>
      </w:pPr>
      <w:r w:rsidRPr="000530CB">
        <w:rPr>
          <w:rFonts w:cs="Arial"/>
        </w:rPr>
        <w:t>fees, remuneration or other benefit in</w:t>
      </w:r>
      <w:r w:rsidR="00EB02BC" w:rsidRPr="000530CB">
        <w:rPr>
          <w:rFonts w:cs="Arial"/>
        </w:rPr>
        <w:t xml:space="preserve"> money or money’s worth to any c</w:t>
      </w:r>
      <w:r w:rsidRPr="000530CB">
        <w:rPr>
          <w:rFonts w:cs="Arial"/>
        </w:rPr>
        <w:t xml:space="preserve">ompany of which a </w:t>
      </w:r>
      <w:r w:rsidR="00B53FED" w:rsidRPr="000530CB">
        <w:rPr>
          <w:rFonts w:cs="Arial"/>
          <w:color w:val="0D0D0D" w:themeColor="text1" w:themeTint="F2"/>
        </w:rPr>
        <w:t>D</w:t>
      </w:r>
      <w:r w:rsidR="00EC65BC" w:rsidRPr="000530CB">
        <w:rPr>
          <w:rFonts w:cs="Arial"/>
          <w:color w:val="0D0D0D" w:themeColor="text1" w:themeTint="F2"/>
        </w:rPr>
        <w:t>irector</w:t>
      </w:r>
      <w:r w:rsidRPr="000530CB">
        <w:rPr>
          <w:rFonts w:cs="Arial"/>
          <w:color w:val="0D0D0D" w:themeColor="text1" w:themeTint="F2"/>
        </w:rPr>
        <w:t xml:space="preserve"> may be a</w:t>
      </w:r>
      <w:r w:rsidRPr="000530CB">
        <w:rPr>
          <w:rFonts w:cs="Arial"/>
        </w:rPr>
        <w:t xml:space="preserve"> member holding not more than one hundredth part</w:t>
      </w:r>
      <w:r w:rsidR="00EB02BC" w:rsidRPr="000530CB">
        <w:rPr>
          <w:rFonts w:cs="Arial"/>
        </w:rPr>
        <w:t xml:space="preserve"> of the issued capital of such c</w:t>
      </w:r>
      <w:r w:rsidRPr="000530CB">
        <w:rPr>
          <w:rFonts w:cs="Arial"/>
        </w:rPr>
        <w:t>ompany;</w:t>
      </w:r>
    </w:p>
    <w:p w14:paraId="479BDC95" w14:textId="77777777" w:rsidR="00AF04AB" w:rsidRPr="000530CB" w:rsidRDefault="00AF04AB" w:rsidP="00AF04AB">
      <w:pPr>
        <w:numPr>
          <w:ilvl w:val="0"/>
          <w:numId w:val="1"/>
        </w:numPr>
        <w:spacing w:after="120"/>
        <w:ind w:left="714" w:hanging="357"/>
        <w:rPr>
          <w:rFonts w:cs="Arial"/>
        </w:rPr>
      </w:pPr>
      <w:r w:rsidRPr="000530CB">
        <w:rPr>
          <w:rFonts w:cs="Arial"/>
        </w:rPr>
        <w:t>Nothing sh</w:t>
      </w:r>
      <w:r w:rsidR="00EB02BC" w:rsidRPr="000530CB">
        <w:rPr>
          <w:rFonts w:cs="Arial"/>
        </w:rPr>
        <w:t>all prevent any payment by the Company</w:t>
      </w:r>
      <w:r w:rsidRPr="000530CB">
        <w:rPr>
          <w:rFonts w:cs="Arial"/>
        </w:rPr>
        <w:t xml:space="preserve"> to a person pursuant to an agreement entered into in compliance with section 89 of the Charities Act, 2009 (as for the time being amended, extended or replaced). </w:t>
      </w:r>
      <w:r w:rsidRPr="000530CB">
        <w:rPr>
          <w:rFonts w:cs="Arial"/>
        </w:rPr>
        <w:br/>
      </w:r>
    </w:p>
    <w:p w14:paraId="416A1BC4" w14:textId="77777777" w:rsidR="00AF04AB" w:rsidRPr="000530CB" w:rsidRDefault="00AF04AB" w:rsidP="00AF04AB">
      <w:pPr>
        <w:rPr>
          <w:rFonts w:cs="Arial"/>
          <w:u w:val="single"/>
        </w:rPr>
      </w:pPr>
      <w:r w:rsidRPr="000530CB">
        <w:rPr>
          <w:rFonts w:cs="Arial"/>
          <w:u w:val="single"/>
        </w:rPr>
        <w:t>Additions, alterations or amendments</w:t>
      </w:r>
    </w:p>
    <w:p w14:paraId="1EB80DAA" w14:textId="77777777" w:rsidR="00AF04AB" w:rsidRPr="000530CB" w:rsidRDefault="00EB02BC" w:rsidP="00AF04AB">
      <w:pPr>
        <w:ind w:left="720"/>
        <w:rPr>
          <w:rFonts w:cs="Arial"/>
        </w:rPr>
      </w:pPr>
      <w:r w:rsidRPr="000530CB">
        <w:rPr>
          <w:rFonts w:cs="Arial"/>
        </w:rPr>
        <w:t>The Company</w:t>
      </w:r>
      <w:r w:rsidR="00AF04AB" w:rsidRPr="000530CB">
        <w:rPr>
          <w:rFonts w:cs="Arial"/>
        </w:rPr>
        <w:t xml:space="preserve"> must ensure that the Charities Regulator has a copy of its </w:t>
      </w:r>
      <w:r w:rsidR="00347AC9" w:rsidRPr="000530CB">
        <w:rPr>
          <w:rFonts w:cs="Arial"/>
        </w:rPr>
        <w:t>most recent Constitution</w:t>
      </w:r>
      <w:r w:rsidR="00AF04AB" w:rsidRPr="000530CB">
        <w:rPr>
          <w:rFonts w:cs="Arial"/>
        </w:rPr>
        <w:t xml:space="preserve">. If it is proposed to make an amendment to the </w:t>
      </w:r>
      <w:r w:rsidRPr="000530CB">
        <w:rPr>
          <w:rFonts w:cs="Arial"/>
        </w:rPr>
        <w:t>Constitution</w:t>
      </w:r>
      <w:r w:rsidR="00AF04AB" w:rsidRPr="000530CB">
        <w:rPr>
          <w:rFonts w:cs="Arial"/>
        </w:rPr>
        <w:t xml:space="preserve"> of the </w:t>
      </w:r>
      <w:r w:rsidRPr="000530CB">
        <w:rPr>
          <w:rFonts w:cs="Arial"/>
        </w:rPr>
        <w:t>Company</w:t>
      </w:r>
      <w:r w:rsidR="00AF04AB" w:rsidRPr="000530CB">
        <w:rPr>
          <w:rFonts w:cs="Arial"/>
        </w:rPr>
        <w:t xml:space="preserve"> which requires the prior approval of the Charities Regulator, advance notice in writing of the proposed changes must be given to the Charities Regulator for approval, and the amendment shall not take effect until such approval is received. </w:t>
      </w:r>
    </w:p>
    <w:p w14:paraId="15F0F5F9" w14:textId="77777777" w:rsidR="00AF04AB" w:rsidRPr="000530CB" w:rsidRDefault="00AF04AB" w:rsidP="00AF04AB">
      <w:pPr>
        <w:rPr>
          <w:rFonts w:cs="Arial"/>
        </w:rPr>
      </w:pPr>
    </w:p>
    <w:p w14:paraId="5819024F" w14:textId="77777777" w:rsidR="00AF04AB" w:rsidRPr="000530CB" w:rsidRDefault="00AF04AB" w:rsidP="00AF04AB">
      <w:pPr>
        <w:rPr>
          <w:rFonts w:cs="Arial"/>
          <w:u w:val="single"/>
        </w:rPr>
      </w:pPr>
      <w:r w:rsidRPr="000530CB">
        <w:rPr>
          <w:rFonts w:cs="Arial"/>
          <w:u w:val="single"/>
        </w:rPr>
        <w:t>Winding-up</w:t>
      </w:r>
    </w:p>
    <w:p w14:paraId="527A7B06" w14:textId="3B952549" w:rsidR="00AF04AB" w:rsidRPr="000530CB" w:rsidRDefault="00AF04AB" w:rsidP="00AF04AB">
      <w:pPr>
        <w:rPr>
          <w:rFonts w:cs="Arial"/>
        </w:rPr>
      </w:pPr>
      <w:r w:rsidRPr="000530CB">
        <w:rPr>
          <w:rFonts w:cs="Arial"/>
        </w:rPr>
        <w:t>If upon the wi</w:t>
      </w:r>
      <w:r w:rsidR="00EB02BC" w:rsidRPr="000530CB">
        <w:rPr>
          <w:rFonts w:cs="Arial"/>
        </w:rPr>
        <w:t>nding up or dissolution of the Company</w:t>
      </w:r>
      <w:r w:rsidRPr="000530CB">
        <w:rPr>
          <w:rFonts w:cs="Arial"/>
        </w:rPr>
        <w:t xml:space="preserve"> there remains, after satisfaction of all debts and liabilities, any property whatsoever, it shall not be paid to or distributed among the members of th</w:t>
      </w:r>
      <w:r w:rsidR="00EB02BC" w:rsidRPr="000530CB">
        <w:rPr>
          <w:rFonts w:cs="Arial"/>
        </w:rPr>
        <w:t>e Company</w:t>
      </w:r>
      <w:r w:rsidRPr="000530CB">
        <w:rPr>
          <w:rFonts w:cs="Arial"/>
        </w:rPr>
        <w:t>. Instead, such property shall be given or transferred to some other charitable institution or institutions having main objects simi</w:t>
      </w:r>
      <w:r w:rsidR="00EB02BC" w:rsidRPr="000530CB">
        <w:rPr>
          <w:rFonts w:cs="Arial"/>
        </w:rPr>
        <w:t>lar to the main objects of the Company</w:t>
      </w:r>
      <w:r w:rsidRPr="000530CB">
        <w:rPr>
          <w:rFonts w:cs="Arial"/>
        </w:rPr>
        <w:t>.  The institution or institutions to which the property is to be given or transferred shall prohibit the distribution of their income and property among their members to an extent at least</w:t>
      </w:r>
      <w:r w:rsidR="00EB02BC" w:rsidRPr="000530CB">
        <w:rPr>
          <w:rFonts w:cs="Arial"/>
        </w:rPr>
        <w:t xml:space="preserve"> as great as is imposed on the Company</w:t>
      </w:r>
      <w:r w:rsidRPr="000530CB">
        <w:rPr>
          <w:rFonts w:cs="Arial"/>
        </w:rPr>
        <w:t xml:space="preserve"> under or by virtue of </w:t>
      </w:r>
      <w:r w:rsidR="003E1BDF">
        <w:rPr>
          <w:rFonts w:cs="Arial"/>
        </w:rPr>
        <w:t xml:space="preserve">the </w:t>
      </w:r>
      <w:r w:rsidR="0010552D">
        <w:rPr>
          <w:rFonts w:cs="Arial"/>
        </w:rPr>
        <w:t xml:space="preserve">Income and Property Clause </w:t>
      </w:r>
      <w:r w:rsidR="00A43D3F">
        <w:rPr>
          <w:rFonts w:cs="Arial"/>
        </w:rPr>
        <w:t xml:space="preserve"> </w:t>
      </w:r>
      <w:r w:rsidR="00EB02BC" w:rsidRPr="000530CB">
        <w:rPr>
          <w:rFonts w:cs="Arial"/>
        </w:rPr>
        <w:t>hereof. Members of the Company</w:t>
      </w:r>
      <w:r w:rsidRPr="000530CB">
        <w:rPr>
          <w:rFonts w:cs="Arial"/>
        </w:rPr>
        <w:t xml:space="preserve"> shall select the relevant institution or institutions at or before the time of dissolution, and if and so far as effect cannot be given to such provisions, then the property shall be given or transferred to some charitable object with the agreement of the Charities Regulator.  Final accounts will be prepared and submitted that will include a section that identifies and values any assets transferred along with the details of the recipients and the terms of the transfer.</w:t>
      </w:r>
    </w:p>
    <w:p w14:paraId="3FCE655A" w14:textId="77777777" w:rsidR="00AF04AB" w:rsidRPr="000530CB" w:rsidRDefault="00AF04AB" w:rsidP="00AF04AB">
      <w:pPr>
        <w:rPr>
          <w:rFonts w:cs="Arial"/>
        </w:rPr>
      </w:pPr>
    </w:p>
    <w:p w14:paraId="6C13152B" w14:textId="77777777" w:rsidR="00FD4517" w:rsidRPr="000530CB" w:rsidRDefault="00FD4517" w:rsidP="00AF04AB">
      <w:pPr>
        <w:rPr>
          <w:rFonts w:cs="Arial"/>
          <w:u w:val="single"/>
        </w:rPr>
      </w:pPr>
      <w:r w:rsidRPr="000530CB">
        <w:rPr>
          <w:rFonts w:cs="Arial"/>
          <w:u w:val="single"/>
        </w:rPr>
        <w:t>Note that should a company wish</w:t>
      </w:r>
      <w:r w:rsidR="00793841" w:rsidRPr="000530CB">
        <w:rPr>
          <w:rFonts w:cs="Arial"/>
          <w:u w:val="single"/>
        </w:rPr>
        <w:t xml:space="preserve"> to</w:t>
      </w:r>
      <w:r w:rsidR="006A7C0C" w:rsidRPr="000530CB">
        <w:rPr>
          <w:rFonts w:cs="Arial"/>
          <w:u w:val="single"/>
        </w:rPr>
        <w:t xml:space="preserve"> make an application to the C</w:t>
      </w:r>
      <w:r w:rsidRPr="000530CB">
        <w:rPr>
          <w:rFonts w:cs="Arial"/>
          <w:u w:val="single"/>
        </w:rPr>
        <w:t xml:space="preserve">ompanies </w:t>
      </w:r>
      <w:r w:rsidR="006A7C0C" w:rsidRPr="000530CB">
        <w:rPr>
          <w:rFonts w:cs="Arial"/>
          <w:u w:val="single"/>
        </w:rPr>
        <w:t>R</w:t>
      </w:r>
      <w:r w:rsidRPr="000530CB">
        <w:rPr>
          <w:rFonts w:cs="Arial"/>
          <w:u w:val="single"/>
        </w:rPr>
        <w:t xml:space="preserve">egistration </w:t>
      </w:r>
      <w:r w:rsidR="006A7C0C" w:rsidRPr="000530CB">
        <w:rPr>
          <w:rFonts w:cs="Arial"/>
          <w:u w:val="single"/>
        </w:rPr>
        <w:t>O</w:t>
      </w:r>
      <w:r w:rsidRPr="000530CB">
        <w:rPr>
          <w:rFonts w:cs="Arial"/>
          <w:u w:val="single"/>
        </w:rPr>
        <w:t>ffice</w:t>
      </w:r>
      <w:r w:rsidR="006A7C0C" w:rsidRPr="000530CB">
        <w:rPr>
          <w:rFonts w:cs="Arial"/>
          <w:u w:val="single"/>
        </w:rPr>
        <w:t xml:space="preserve"> to</w:t>
      </w:r>
      <w:r w:rsidR="00793841" w:rsidRPr="000530CB">
        <w:rPr>
          <w:rFonts w:cs="Arial"/>
          <w:u w:val="single"/>
        </w:rPr>
        <w:t xml:space="preserve"> dispense with “company limited by guarantee” or Irish equivalent in </w:t>
      </w:r>
      <w:r w:rsidRPr="000530CB">
        <w:rPr>
          <w:rFonts w:cs="Arial"/>
          <w:u w:val="single"/>
        </w:rPr>
        <w:t xml:space="preserve">the </w:t>
      </w:r>
      <w:r w:rsidR="00793841" w:rsidRPr="000530CB">
        <w:rPr>
          <w:rFonts w:cs="Arial"/>
          <w:u w:val="single"/>
        </w:rPr>
        <w:t>n</w:t>
      </w:r>
      <w:r w:rsidR="00EB02BC" w:rsidRPr="000530CB">
        <w:rPr>
          <w:rFonts w:cs="Arial"/>
          <w:u w:val="single"/>
        </w:rPr>
        <w:t xml:space="preserve">ame of </w:t>
      </w:r>
      <w:r w:rsidR="00421C3D" w:rsidRPr="000530CB">
        <w:rPr>
          <w:rFonts w:cs="Arial"/>
          <w:u w:val="single"/>
        </w:rPr>
        <w:t xml:space="preserve">the </w:t>
      </w:r>
      <w:r w:rsidR="00EB02BC" w:rsidRPr="000530CB">
        <w:rPr>
          <w:rFonts w:cs="Arial"/>
          <w:u w:val="single"/>
        </w:rPr>
        <w:t xml:space="preserve">charitable company – </w:t>
      </w:r>
      <w:r w:rsidRPr="000530CB">
        <w:rPr>
          <w:rFonts w:cs="Arial"/>
          <w:u w:val="single"/>
        </w:rPr>
        <w:t>an alternative winding up provision is required by the Companies Registration Office pursuant to section 1180 of the Companies Act, 2014</w:t>
      </w:r>
      <w:r w:rsidR="00EB0459" w:rsidRPr="000530CB">
        <w:rPr>
          <w:rFonts w:cs="Arial"/>
          <w:u w:val="single"/>
        </w:rPr>
        <w:t xml:space="preserve"> – see alternative text below for the winding-up clause in this instance</w:t>
      </w:r>
    </w:p>
    <w:p w14:paraId="33200CE8" w14:textId="77F8632E" w:rsidR="00EB0459" w:rsidRPr="000530CB" w:rsidRDefault="00EB0459" w:rsidP="00EB0459">
      <w:pPr>
        <w:pStyle w:val="NormalWeb"/>
        <w:rPr>
          <w:rFonts w:asciiTheme="minorHAnsi" w:hAnsiTheme="minorHAnsi"/>
          <w:i/>
          <w:sz w:val="22"/>
          <w:szCs w:val="22"/>
        </w:rPr>
      </w:pPr>
      <w:r w:rsidRPr="000530CB">
        <w:rPr>
          <w:rFonts w:asciiTheme="minorHAnsi" w:hAnsiTheme="minorHAnsi" w:cs="Arial"/>
          <w:i/>
          <w:sz w:val="22"/>
          <w:szCs w:val="22"/>
        </w:rPr>
        <w:t>If upon the winding up or dissolution of the Company there remains, after the satisfaction of all its debts and liabilities, any property whatsoever, it shall not be paid to or distributed among the members of the Company. Instead, such property shall be given or transferred to some other company or companies (being a charitable institution or institutions) having main objects similar to the main objects of the Company. The company or companies (being a charitable institution or institutions) to which the property is to be given or transferred shall prohibit the distribution of its or their income and property among its or their members to an extent at least as great as is imposed on the Company under or by virtue of</w:t>
      </w:r>
      <w:r w:rsidR="00266B89">
        <w:rPr>
          <w:rFonts w:asciiTheme="minorHAnsi" w:hAnsiTheme="minorHAnsi" w:cs="Arial"/>
          <w:i/>
          <w:sz w:val="22"/>
          <w:szCs w:val="22"/>
        </w:rPr>
        <w:t xml:space="preserve"> the Income and Property clause </w:t>
      </w:r>
      <w:r w:rsidRPr="000530CB">
        <w:rPr>
          <w:rFonts w:asciiTheme="minorHAnsi" w:hAnsiTheme="minorHAnsi" w:cs="Arial"/>
          <w:i/>
          <w:sz w:val="22"/>
          <w:szCs w:val="22"/>
        </w:rPr>
        <w:t> hereof. Members of the Company shall select the company or companies (being a charitable institution or institutions) at or before the time of dissolution.</w:t>
      </w:r>
      <w:r w:rsidRPr="000530CB">
        <w:rPr>
          <w:rFonts w:asciiTheme="minorHAnsi" w:hAnsiTheme="minorHAnsi" w:cs="Arial"/>
          <w:b/>
          <w:bCs/>
          <w:i/>
          <w:sz w:val="22"/>
          <w:szCs w:val="22"/>
        </w:rPr>
        <w:t xml:space="preserve"> </w:t>
      </w:r>
      <w:r w:rsidRPr="000530CB">
        <w:rPr>
          <w:rFonts w:asciiTheme="minorHAnsi" w:hAnsiTheme="minorHAnsi" w:cs="Arial"/>
          <w:i/>
          <w:sz w:val="22"/>
          <w:szCs w:val="22"/>
        </w:rPr>
        <w:t>Final accounts will be prepared and submitted that will include a section that identifies an</w:t>
      </w:r>
      <w:bookmarkStart w:id="0" w:name="_GoBack"/>
      <w:bookmarkEnd w:id="0"/>
      <w:r w:rsidRPr="000530CB">
        <w:rPr>
          <w:rFonts w:asciiTheme="minorHAnsi" w:hAnsiTheme="minorHAnsi" w:cs="Arial"/>
          <w:i/>
          <w:sz w:val="22"/>
          <w:szCs w:val="22"/>
        </w:rPr>
        <w:t>d values any assets transferred along with the details of the recipients and the terms of the transfer.</w:t>
      </w:r>
      <w:r w:rsidRPr="000530CB">
        <w:rPr>
          <w:rFonts w:asciiTheme="minorHAnsi" w:hAnsiTheme="minorHAnsi"/>
          <w:i/>
          <w:sz w:val="22"/>
          <w:szCs w:val="22"/>
        </w:rPr>
        <w:t xml:space="preserve"> </w:t>
      </w:r>
    </w:p>
    <w:p w14:paraId="6F9BE48A" w14:textId="77777777" w:rsidR="00AF04AB" w:rsidRPr="000530CB" w:rsidRDefault="00AF04AB" w:rsidP="00AF04AB">
      <w:pPr>
        <w:rPr>
          <w:rFonts w:cs="Arial"/>
          <w:u w:val="single"/>
        </w:rPr>
      </w:pPr>
    </w:p>
    <w:p w14:paraId="4A9B6E2E" w14:textId="77777777" w:rsidR="00793841" w:rsidRPr="000530CB" w:rsidRDefault="00793841" w:rsidP="00AF04AB">
      <w:pPr>
        <w:rPr>
          <w:rFonts w:cs="Arial"/>
          <w:u w:val="single"/>
        </w:rPr>
      </w:pPr>
    </w:p>
    <w:sectPr w:rsidR="00793841" w:rsidRPr="000530CB" w:rsidSect="002711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829"/>
    <w:multiLevelType w:val="hybridMultilevel"/>
    <w:tmpl w:val="6424490E"/>
    <w:lvl w:ilvl="0" w:tplc="0A92FB4A">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AB"/>
    <w:rsid w:val="000020F3"/>
    <w:rsid w:val="00005247"/>
    <w:rsid w:val="00006B1D"/>
    <w:rsid w:val="0001266B"/>
    <w:rsid w:val="00013805"/>
    <w:rsid w:val="00020509"/>
    <w:rsid w:val="00022A28"/>
    <w:rsid w:val="000242AD"/>
    <w:rsid w:val="000264C2"/>
    <w:rsid w:val="00030843"/>
    <w:rsid w:val="00030860"/>
    <w:rsid w:val="00031610"/>
    <w:rsid w:val="00031D9D"/>
    <w:rsid w:val="00031EF3"/>
    <w:rsid w:val="00033BC8"/>
    <w:rsid w:val="00033E2A"/>
    <w:rsid w:val="00047ADB"/>
    <w:rsid w:val="00050148"/>
    <w:rsid w:val="000530CB"/>
    <w:rsid w:val="000548A8"/>
    <w:rsid w:val="00054A7D"/>
    <w:rsid w:val="000563B4"/>
    <w:rsid w:val="00061B36"/>
    <w:rsid w:val="00067719"/>
    <w:rsid w:val="0007799D"/>
    <w:rsid w:val="00084EFC"/>
    <w:rsid w:val="000869F6"/>
    <w:rsid w:val="00086D45"/>
    <w:rsid w:val="00090D4D"/>
    <w:rsid w:val="000945F1"/>
    <w:rsid w:val="000A0F1C"/>
    <w:rsid w:val="000A1C17"/>
    <w:rsid w:val="000A321F"/>
    <w:rsid w:val="000B4AB9"/>
    <w:rsid w:val="000C140A"/>
    <w:rsid w:val="000C4DBD"/>
    <w:rsid w:val="000C7778"/>
    <w:rsid w:val="000D35EB"/>
    <w:rsid w:val="000D4BD8"/>
    <w:rsid w:val="000D5A67"/>
    <w:rsid w:val="000D767A"/>
    <w:rsid w:val="000E3C4A"/>
    <w:rsid w:val="000E74E0"/>
    <w:rsid w:val="00100181"/>
    <w:rsid w:val="00102372"/>
    <w:rsid w:val="0010552D"/>
    <w:rsid w:val="001126D6"/>
    <w:rsid w:val="00114DE4"/>
    <w:rsid w:val="001159B0"/>
    <w:rsid w:val="001276FA"/>
    <w:rsid w:val="00131F63"/>
    <w:rsid w:val="00133338"/>
    <w:rsid w:val="00134191"/>
    <w:rsid w:val="001341D1"/>
    <w:rsid w:val="00136D8B"/>
    <w:rsid w:val="0014256A"/>
    <w:rsid w:val="0014387A"/>
    <w:rsid w:val="0014481B"/>
    <w:rsid w:val="0014665E"/>
    <w:rsid w:val="00151AA5"/>
    <w:rsid w:val="00152BEA"/>
    <w:rsid w:val="0015302F"/>
    <w:rsid w:val="00153EC6"/>
    <w:rsid w:val="00170197"/>
    <w:rsid w:val="00171224"/>
    <w:rsid w:val="0017333E"/>
    <w:rsid w:val="00173C95"/>
    <w:rsid w:val="0017540B"/>
    <w:rsid w:val="00176C55"/>
    <w:rsid w:val="00180122"/>
    <w:rsid w:val="00180F9C"/>
    <w:rsid w:val="00182188"/>
    <w:rsid w:val="00185401"/>
    <w:rsid w:val="00187393"/>
    <w:rsid w:val="00193B05"/>
    <w:rsid w:val="00193F3C"/>
    <w:rsid w:val="001947B6"/>
    <w:rsid w:val="00194EEA"/>
    <w:rsid w:val="001B05F3"/>
    <w:rsid w:val="001B637F"/>
    <w:rsid w:val="001C52D0"/>
    <w:rsid w:val="001D07D4"/>
    <w:rsid w:val="001E3F44"/>
    <w:rsid w:val="001E6179"/>
    <w:rsid w:val="001E6CD8"/>
    <w:rsid w:val="001F3FC3"/>
    <w:rsid w:val="00201056"/>
    <w:rsid w:val="00203CFE"/>
    <w:rsid w:val="00205E3A"/>
    <w:rsid w:val="0021248D"/>
    <w:rsid w:val="00214692"/>
    <w:rsid w:val="00217731"/>
    <w:rsid w:val="00217DD7"/>
    <w:rsid w:val="002250E9"/>
    <w:rsid w:val="00227817"/>
    <w:rsid w:val="0023357B"/>
    <w:rsid w:val="002408E8"/>
    <w:rsid w:val="0024473D"/>
    <w:rsid w:val="00244889"/>
    <w:rsid w:val="002451FB"/>
    <w:rsid w:val="00245BA7"/>
    <w:rsid w:val="002518D9"/>
    <w:rsid w:val="00253595"/>
    <w:rsid w:val="002535CA"/>
    <w:rsid w:val="002604FA"/>
    <w:rsid w:val="00262146"/>
    <w:rsid w:val="00264E97"/>
    <w:rsid w:val="00266B89"/>
    <w:rsid w:val="002711BE"/>
    <w:rsid w:val="00274186"/>
    <w:rsid w:val="002741D5"/>
    <w:rsid w:val="00277401"/>
    <w:rsid w:val="0028218D"/>
    <w:rsid w:val="00282A69"/>
    <w:rsid w:val="00282C64"/>
    <w:rsid w:val="002833B0"/>
    <w:rsid w:val="00285F79"/>
    <w:rsid w:val="00286D2E"/>
    <w:rsid w:val="002871B1"/>
    <w:rsid w:val="002871D3"/>
    <w:rsid w:val="00290270"/>
    <w:rsid w:val="002912DF"/>
    <w:rsid w:val="00291D4F"/>
    <w:rsid w:val="00292BB1"/>
    <w:rsid w:val="002933A3"/>
    <w:rsid w:val="00294472"/>
    <w:rsid w:val="00296C0D"/>
    <w:rsid w:val="00297B4F"/>
    <w:rsid w:val="002A0598"/>
    <w:rsid w:val="002A27FA"/>
    <w:rsid w:val="002A6FEB"/>
    <w:rsid w:val="002B4094"/>
    <w:rsid w:val="002B5379"/>
    <w:rsid w:val="002B6C15"/>
    <w:rsid w:val="002C5D3A"/>
    <w:rsid w:val="002D1E9E"/>
    <w:rsid w:val="002D2F1C"/>
    <w:rsid w:val="002D36B1"/>
    <w:rsid w:val="002E27D4"/>
    <w:rsid w:val="002E2823"/>
    <w:rsid w:val="002E6AF9"/>
    <w:rsid w:val="002F5977"/>
    <w:rsid w:val="002F5D8C"/>
    <w:rsid w:val="003068CE"/>
    <w:rsid w:val="003112F0"/>
    <w:rsid w:val="00312B22"/>
    <w:rsid w:val="003130AE"/>
    <w:rsid w:val="003133AB"/>
    <w:rsid w:val="003157E4"/>
    <w:rsid w:val="00317681"/>
    <w:rsid w:val="00317F3D"/>
    <w:rsid w:val="00320F6D"/>
    <w:rsid w:val="00324C52"/>
    <w:rsid w:val="00324D2D"/>
    <w:rsid w:val="00326094"/>
    <w:rsid w:val="00330F69"/>
    <w:rsid w:val="003310F7"/>
    <w:rsid w:val="003312E7"/>
    <w:rsid w:val="00333EEF"/>
    <w:rsid w:val="00347A45"/>
    <w:rsid w:val="00347AC9"/>
    <w:rsid w:val="0035123C"/>
    <w:rsid w:val="00351942"/>
    <w:rsid w:val="00353B3E"/>
    <w:rsid w:val="003563EC"/>
    <w:rsid w:val="003569D4"/>
    <w:rsid w:val="00357D5F"/>
    <w:rsid w:val="003620A7"/>
    <w:rsid w:val="00366138"/>
    <w:rsid w:val="003710C3"/>
    <w:rsid w:val="0037527E"/>
    <w:rsid w:val="00377CDE"/>
    <w:rsid w:val="00382ABF"/>
    <w:rsid w:val="0039292B"/>
    <w:rsid w:val="00393AD1"/>
    <w:rsid w:val="003942EB"/>
    <w:rsid w:val="003A0EFC"/>
    <w:rsid w:val="003A6B40"/>
    <w:rsid w:val="003A6C6E"/>
    <w:rsid w:val="003B0249"/>
    <w:rsid w:val="003B0A5B"/>
    <w:rsid w:val="003B6936"/>
    <w:rsid w:val="003B7353"/>
    <w:rsid w:val="003C1982"/>
    <w:rsid w:val="003D2E04"/>
    <w:rsid w:val="003D6069"/>
    <w:rsid w:val="003D76D2"/>
    <w:rsid w:val="003D78C8"/>
    <w:rsid w:val="003E1BDF"/>
    <w:rsid w:val="003E5DFC"/>
    <w:rsid w:val="003F3C27"/>
    <w:rsid w:val="003F4DF6"/>
    <w:rsid w:val="0040692D"/>
    <w:rsid w:val="00414CEB"/>
    <w:rsid w:val="00417C08"/>
    <w:rsid w:val="00421C3D"/>
    <w:rsid w:val="004223C4"/>
    <w:rsid w:val="0042294A"/>
    <w:rsid w:val="00425B93"/>
    <w:rsid w:val="004311DE"/>
    <w:rsid w:val="0043132C"/>
    <w:rsid w:val="0043172A"/>
    <w:rsid w:val="00435802"/>
    <w:rsid w:val="004403C2"/>
    <w:rsid w:val="004422D9"/>
    <w:rsid w:val="00445034"/>
    <w:rsid w:val="00452882"/>
    <w:rsid w:val="00456CF5"/>
    <w:rsid w:val="004676D9"/>
    <w:rsid w:val="00470F02"/>
    <w:rsid w:val="004733FF"/>
    <w:rsid w:val="00474A95"/>
    <w:rsid w:val="004757E9"/>
    <w:rsid w:val="00480998"/>
    <w:rsid w:val="00482B4D"/>
    <w:rsid w:val="004855E8"/>
    <w:rsid w:val="004858CB"/>
    <w:rsid w:val="00490EC8"/>
    <w:rsid w:val="0049594E"/>
    <w:rsid w:val="004A118D"/>
    <w:rsid w:val="004A1948"/>
    <w:rsid w:val="004A4CBC"/>
    <w:rsid w:val="004A592E"/>
    <w:rsid w:val="004B005C"/>
    <w:rsid w:val="004B11B3"/>
    <w:rsid w:val="004B61C1"/>
    <w:rsid w:val="004C0602"/>
    <w:rsid w:val="004C12EE"/>
    <w:rsid w:val="004C68D7"/>
    <w:rsid w:val="004D2361"/>
    <w:rsid w:val="004D31FF"/>
    <w:rsid w:val="004D7C40"/>
    <w:rsid w:val="004E76EF"/>
    <w:rsid w:val="004F0F64"/>
    <w:rsid w:val="004F3A91"/>
    <w:rsid w:val="004F43EA"/>
    <w:rsid w:val="004F59B2"/>
    <w:rsid w:val="004F741B"/>
    <w:rsid w:val="004F7FD6"/>
    <w:rsid w:val="005010DC"/>
    <w:rsid w:val="0050404F"/>
    <w:rsid w:val="00507142"/>
    <w:rsid w:val="005073D7"/>
    <w:rsid w:val="005074C7"/>
    <w:rsid w:val="00512770"/>
    <w:rsid w:val="00513DD7"/>
    <w:rsid w:val="005161DB"/>
    <w:rsid w:val="0051680A"/>
    <w:rsid w:val="0051725F"/>
    <w:rsid w:val="00517DC1"/>
    <w:rsid w:val="00520A7F"/>
    <w:rsid w:val="005225FE"/>
    <w:rsid w:val="00525666"/>
    <w:rsid w:val="00526DB3"/>
    <w:rsid w:val="00527A85"/>
    <w:rsid w:val="00533878"/>
    <w:rsid w:val="00535113"/>
    <w:rsid w:val="00535DDE"/>
    <w:rsid w:val="00541F2C"/>
    <w:rsid w:val="00547E57"/>
    <w:rsid w:val="00553697"/>
    <w:rsid w:val="0055495F"/>
    <w:rsid w:val="00563AE2"/>
    <w:rsid w:val="00567EC3"/>
    <w:rsid w:val="00570533"/>
    <w:rsid w:val="00573D3E"/>
    <w:rsid w:val="005758AF"/>
    <w:rsid w:val="0058078A"/>
    <w:rsid w:val="0058278F"/>
    <w:rsid w:val="005872B0"/>
    <w:rsid w:val="005875E2"/>
    <w:rsid w:val="005900C7"/>
    <w:rsid w:val="00591E92"/>
    <w:rsid w:val="00592F48"/>
    <w:rsid w:val="005A222A"/>
    <w:rsid w:val="005A515F"/>
    <w:rsid w:val="005A6330"/>
    <w:rsid w:val="005A68CF"/>
    <w:rsid w:val="005B27CE"/>
    <w:rsid w:val="005B588C"/>
    <w:rsid w:val="005B5C50"/>
    <w:rsid w:val="005B7CD4"/>
    <w:rsid w:val="005C2904"/>
    <w:rsid w:val="005C31CC"/>
    <w:rsid w:val="005D09C7"/>
    <w:rsid w:val="005D2B7F"/>
    <w:rsid w:val="005D2DCA"/>
    <w:rsid w:val="005D7145"/>
    <w:rsid w:val="005D7B7E"/>
    <w:rsid w:val="005E387B"/>
    <w:rsid w:val="005E54D4"/>
    <w:rsid w:val="005F1DA0"/>
    <w:rsid w:val="005F27A4"/>
    <w:rsid w:val="005F27DA"/>
    <w:rsid w:val="005F3B0A"/>
    <w:rsid w:val="005F4CE0"/>
    <w:rsid w:val="00604741"/>
    <w:rsid w:val="006150E6"/>
    <w:rsid w:val="00615139"/>
    <w:rsid w:val="006210D6"/>
    <w:rsid w:val="006228AA"/>
    <w:rsid w:val="00623961"/>
    <w:rsid w:val="006264D3"/>
    <w:rsid w:val="0062662C"/>
    <w:rsid w:val="0063334C"/>
    <w:rsid w:val="00641F9D"/>
    <w:rsid w:val="006420B3"/>
    <w:rsid w:val="00642ECD"/>
    <w:rsid w:val="0064513E"/>
    <w:rsid w:val="00645E29"/>
    <w:rsid w:val="0065433C"/>
    <w:rsid w:val="00654423"/>
    <w:rsid w:val="0066213A"/>
    <w:rsid w:val="00675D3D"/>
    <w:rsid w:val="00680A17"/>
    <w:rsid w:val="0068588D"/>
    <w:rsid w:val="0068594F"/>
    <w:rsid w:val="00690B77"/>
    <w:rsid w:val="00691FF4"/>
    <w:rsid w:val="00693835"/>
    <w:rsid w:val="006955D3"/>
    <w:rsid w:val="006A0413"/>
    <w:rsid w:val="006A3E47"/>
    <w:rsid w:val="006A3F97"/>
    <w:rsid w:val="006A7C0C"/>
    <w:rsid w:val="006B1F65"/>
    <w:rsid w:val="006B2AC5"/>
    <w:rsid w:val="006B2E16"/>
    <w:rsid w:val="006B49F8"/>
    <w:rsid w:val="006B75AD"/>
    <w:rsid w:val="006C1AE7"/>
    <w:rsid w:val="006C3132"/>
    <w:rsid w:val="006C6888"/>
    <w:rsid w:val="006C728B"/>
    <w:rsid w:val="006C77FE"/>
    <w:rsid w:val="006C7FE3"/>
    <w:rsid w:val="006E391D"/>
    <w:rsid w:val="006E7B8A"/>
    <w:rsid w:val="006F27CD"/>
    <w:rsid w:val="006F39E2"/>
    <w:rsid w:val="006F4B59"/>
    <w:rsid w:val="007037B2"/>
    <w:rsid w:val="00704A13"/>
    <w:rsid w:val="00704E8D"/>
    <w:rsid w:val="007108D9"/>
    <w:rsid w:val="007129BF"/>
    <w:rsid w:val="00713233"/>
    <w:rsid w:val="0071547A"/>
    <w:rsid w:val="00720730"/>
    <w:rsid w:val="00727B19"/>
    <w:rsid w:val="007339FC"/>
    <w:rsid w:val="00742096"/>
    <w:rsid w:val="007435A1"/>
    <w:rsid w:val="0074443C"/>
    <w:rsid w:val="007457A0"/>
    <w:rsid w:val="0075430A"/>
    <w:rsid w:val="00755252"/>
    <w:rsid w:val="0075672D"/>
    <w:rsid w:val="0075695C"/>
    <w:rsid w:val="00766180"/>
    <w:rsid w:val="00767212"/>
    <w:rsid w:val="00772417"/>
    <w:rsid w:val="00774152"/>
    <w:rsid w:val="00775453"/>
    <w:rsid w:val="00775AEA"/>
    <w:rsid w:val="00776EC2"/>
    <w:rsid w:val="00777641"/>
    <w:rsid w:val="00784637"/>
    <w:rsid w:val="00793841"/>
    <w:rsid w:val="0079592C"/>
    <w:rsid w:val="007971EC"/>
    <w:rsid w:val="007A07AC"/>
    <w:rsid w:val="007A2B6F"/>
    <w:rsid w:val="007B0DEC"/>
    <w:rsid w:val="007B3E87"/>
    <w:rsid w:val="007B463F"/>
    <w:rsid w:val="007D3785"/>
    <w:rsid w:val="007D4365"/>
    <w:rsid w:val="007D5C16"/>
    <w:rsid w:val="007D79B1"/>
    <w:rsid w:val="007E0E84"/>
    <w:rsid w:val="007E3C71"/>
    <w:rsid w:val="007F11DF"/>
    <w:rsid w:val="007F70CB"/>
    <w:rsid w:val="00801100"/>
    <w:rsid w:val="00803DC1"/>
    <w:rsid w:val="00804A04"/>
    <w:rsid w:val="0080509E"/>
    <w:rsid w:val="008055A7"/>
    <w:rsid w:val="00812F96"/>
    <w:rsid w:val="00817162"/>
    <w:rsid w:val="00817AE9"/>
    <w:rsid w:val="00820649"/>
    <w:rsid w:val="00821CE4"/>
    <w:rsid w:val="008223CD"/>
    <w:rsid w:val="00823CB4"/>
    <w:rsid w:val="00824B13"/>
    <w:rsid w:val="00825E77"/>
    <w:rsid w:val="008269C5"/>
    <w:rsid w:val="008411E0"/>
    <w:rsid w:val="00843028"/>
    <w:rsid w:val="00843365"/>
    <w:rsid w:val="00843FAC"/>
    <w:rsid w:val="0084485A"/>
    <w:rsid w:val="00845818"/>
    <w:rsid w:val="00845AFF"/>
    <w:rsid w:val="008516C2"/>
    <w:rsid w:val="00857F27"/>
    <w:rsid w:val="008610E9"/>
    <w:rsid w:val="00862DD7"/>
    <w:rsid w:val="0087010F"/>
    <w:rsid w:val="008772CD"/>
    <w:rsid w:val="0088367E"/>
    <w:rsid w:val="008841AA"/>
    <w:rsid w:val="00885597"/>
    <w:rsid w:val="00891C3A"/>
    <w:rsid w:val="00895366"/>
    <w:rsid w:val="00896F67"/>
    <w:rsid w:val="008A0411"/>
    <w:rsid w:val="008A08AE"/>
    <w:rsid w:val="008A53C1"/>
    <w:rsid w:val="008A5519"/>
    <w:rsid w:val="008B08FA"/>
    <w:rsid w:val="008B0D2C"/>
    <w:rsid w:val="008B1CC5"/>
    <w:rsid w:val="008B4225"/>
    <w:rsid w:val="008B4360"/>
    <w:rsid w:val="008B6DC7"/>
    <w:rsid w:val="008C1CA6"/>
    <w:rsid w:val="008C25D0"/>
    <w:rsid w:val="008C6918"/>
    <w:rsid w:val="008D3474"/>
    <w:rsid w:val="008D38BE"/>
    <w:rsid w:val="008D4D44"/>
    <w:rsid w:val="008D55EA"/>
    <w:rsid w:val="008D782F"/>
    <w:rsid w:val="008E4943"/>
    <w:rsid w:val="008E4C7D"/>
    <w:rsid w:val="008E71F3"/>
    <w:rsid w:val="008E75D8"/>
    <w:rsid w:val="008F19A5"/>
    <w:rsid w:val="008F26B9"/>
    <w:rsid w:val="008F5D4D"/>
    <w:rsid w:val="008F7F0F"/>
    <w:rsid w:val="009010FC"/>
    <w:rsid w:val="0090266A"/>
    <w:rsid w:val="009065D5"/>
    <w:rsid w:val="00910252"/>
    <w:rsid w:val="0091231B"/>
    <w:rsid w:val="00912929"/>
    <w:rsid w:val="00912967"/>
    <w:rsid w:val="00913A59"/>
    <w:rsid w:val="00915605"/>
    <w:rsid w:val="00922BF6"/>
    <w:rsid w:val="0092400E"/>
    <w:rsid w:val="009250BC"/>
    <w:rsid w:val="009264DF"/>
    <w:rsid w:val="0093084B"/>
    <w:rsid w:val="00930860"/>
    <w:rsid w:val="009316FD"/>
    <w:rsid w:val="00934AAE"/>
    <w:rsid w:val="00935E1B"/>
    <w:rsid w:val="00936F61"/>
    <w:rsid w:val="00940266"/>
    <w:rsid w:val="009517D5"/>
    <w:rsid w:val="00951AD2"/>
    <w:rsid w:val="009535D1"/>
    <w:rsid w:val="00953C29"/>
    <w:rsid w:val="00961F46"/>
    <w:rsid w:val="009623A3"/>
    <w:rsid w:val="00962906"/>
    <w:rsid w:val="00962924"/>
    <w:rsid w:val="009629AB"/>
    <w:rsid w:val="00962D16"/>
    <w:rsid w:val="00965526"/>
    <w:rsid w:val="00973476"/>
    <w:rsid w:val="00973FC9"/>
    <w:rsid w:val="009748B0"/>
    <w:rsid w:val="00974C43"/>
    <w:rsid w:val="009766E8"/>
    <w:rsid w:val="009768FF"/>
    <w:rsid w:val="00977865"/>
    <w:rsid w:val="0098091B"/>
    <w:rsid w:val="00981BC6"/>
    <w:rsid w:val="00983300"/>
    <w:rsid w:val="00986AFA"/>
    <w:rsid w:val="00990054"/>
    <w:rsid w:val="00992379"/>
    <w:rsid w:val="0099379F"/>
    <w:rsid w:val="00995EA7"/>
    <w:rsid w:val="009A45F9"/>
    <w:rsid w:val="009A5968"/>
    <w:rsid w:val="009A7CC8"/>
    <w:rsid w:val="009B249C"/>
    <w:rsid w:val="009C0622"/>
    <w:rsid w:val="009C20E6"/>
    <w:rsid w:val="009C2913"/>
    <w:rsid w:val="009C6FF0"/>
    <w:rsid w:val="009D0B08"/>
    <w:rsid w:val="009D2247"/>
    <w:rsid w:val="009D502F"/>
    <w:rsid w:val="009D5491"/>
    <w:rsid w:val="009E07C0"/>
    <w:rsid w:val="009E380F"/>
    <w:rsid w:val="009E5064"/>
    <w:rsid w:val="009F2FD4"/>
    <w:rsid w:val="009F3CD5"/>
    <w:rsid w:val="009F4213"/>
    <w:rsid w:val="00A01D92"/>
    <w:rsid w:val="00A03CD5"/>
    <w:rsid w:val="00A05742"/>
    <w:rsid w:val="00A14973"/>
    <w:rsid w:val="00A16474"/>
    <w:rsid w:val="00A16E83"/>
    <w:rsid w:val="00A20724"/>
    <w:rsid w:val="00A23EA2"/>
    <w:rsid w:val="00A248AD"/>
    <w:rsid w:val="00A25EED"/>
    <w:rsid w:val="00A3022A"/>
    <w:rsid w:val="00A3074A"/>
    <w:rsid w:val="00A319EF"/>
    <w:rsid w:val="00A32638"/>
    <w:rsid w:val="00A43D3F"/>
    <w:rsid w:val="00A46A51"/>
    <w:rsid w:val="00A5013D"/>
    <w:rsid w:val="00A50C68"/>
    <w:rsid w:val="00A51401"/>
    <w:rsid w:val="00A52A46"/>
    <w:rsid w:val="00A5321B"/>
    <w:rsid w:val="00A53683"/>
    <w:rsid w:val="00A5411C"/>
    <w:rsid w:val="00A578C3"/>
    <w:rsid w:val="00A6320D"/>
    <w:rsid w:val="00A637F8"/>
    <w:rsid w:val="00A66B02"/>
    <w:rsid w:val="00A725FB"/>
    <w:rsid w:val="00A72BEF"/>
    <w:rsid w:val="00A738D3"/>
    <w:rsid w:val="00A73B56"/>
    <w:rsid w:val="00A74559"/>
    <w:rsid w:val="00A75E3F"/>
    <w:rsid w:val="00A7692D"/>
    <w:rsid w:val="00A8161B"/>
    <w:rsid w:val="00A821C8"/>
    <w:rsid w:val="00A824AB"/>
    <w:rsid w:val="00A9005B"/>
    <w:rsid w:val="00A97173"/>
    <w:rsid w:val="00AA2024"/>
    <w:rsid w:val="00AA50CC"/>
    <w:rsid w:val="00AA6078"/>
    <w:rsid w:val="00AA6B1B"/>
    <w:rsid w:val="00AB0356"/>
    <w:rsid w:val="00AB0DF0"/>
    <w:rsid w:val="00AB1374"/>
    <w:rsid w:val="00AB18DE"/>
    <w:rsid w:val="00AB4B4B"/>
    <w:rsid w:val="00AB6306"/>
    <w:rsid w:val="00AB7CA1"/>
    <w:rsid w:val="00AC0D14"/>
    <w:rsid w:val="00AC4419"/>
    <w:rsid w:val="00AC545C"/>
    <w:rsid w:val="00AC76F7"/>
    <w:rsid w:val="00AC7B21"/>
    <w:rsid w:val="00AD054B"/>
    <w:rsid w:val="00AD16CF"/>
    <w:rsid w:val="00AD4651"/>
    <w:rsid w:val="00AD696B"/>
    <w:rsid w:val="00AE0B76"/>
    <w:rsid w:val="00AE3EA5"/>
    <w:rsid w:val="00AF04AB"/>
    <w:rsid w:val="00AF3451"/>
    <w:rsid w:val="00AF3F67"/>
    <w:rsid w:val="00B01028"/>
    <w:rsid w:val="00B05411"/>
    <w:rsid w:val="00B16535"/>
    <w:rsid w:val="00B17147"/>
    <w:rsid w:val="00B200C8"/>
    <w:rsid w:val="00B21358"/>
    <w:rsid w:val="00B2144E"/>
    <w:rsid w:val="00B22F7B"/>
    <w:rsid w:val="00B26261"/>
    <w:rsid w:val="00B33344"/>
    <w:rsid w:val="00B414A9"/>
    <w:rsid w:val="00B431B3"/>
    <w:rsid w:val="00B432C8"/>
    <w:rsid w:val="00B43996"/>
    <w:rsid w:val="00B51B38"/>
    <w:rsid w:val="00B52C6C"/>
    <w:rsid w:val="00B52C8C"/>
    <w:rsid w:val="00B52DA6"/>
    <w:rsid w:val="00B53FED"/>
    <w:rsid w:val="00B540B8"/>
    <w:rsid w:val="00B5740C"/>
    <w:rsid w:val="00B63F4C"/>
    <w:rsid w:val="00B66EAB"/>
    <w:rsid w:val="00B70197"/>
    <w:rsid w:val="00B813A4"/>
    <w:rsid w:val="00B815C6"/>
    <w:rsid w:val="00B82F75"/>
    <w:rsid w:val="00B85328"/>
    <w:rsid w:val="00B92D62"/>
    <w:rsid w:val="00B957A1"/>
    <w:rsid w:val="00BA25C9"/>
    <w:rsid w:val="00BA27A9"/>
    <w:rsid w:val="00BA2AE3"/>
    <w:rsid w:val="00BA2F0F"/>
    <w:rsid w:val="00BA595B"/>
    <w:rsid w:val="00BB3BD7"/>
    <w:rsid w:val="00BB4963"/>
    <w:rsid w:val="00BB74DE"/>
    <w:rsid w:val="00BB7C8D"/>
    <w:rsid w:val="00BC1CC9"/>
    <w:rsid w:val="00BC5063"/>
    <w:rsid w:val="00BC6EF0"/>
    <w:rsid w:val="00BD2285"/>
    <w:rsid w:val="00BD5DFC"/>
    <w:rsid w:val="00BD636B"/>
    <w:rsid w:val="00BD66AA"/>
    <w:rsid w:val="00BE281F"/>
    <w:rsid w:val="00BE2C55"/>
    <w:rsid w:val="00BE43DB"/>
    <w:rsid w:val="00BE512F"/>
    <w:rsid w:val="00BF627F"/>
    <w:rsid w:val="00C02ADE"/>
    <w:rsid w:val="00C0646E"/>
    <w:rsid w:val="00C06B4F"/>
    <w:rsid w:val="00C12F8C"/>
    <w:rsid w:val="00C155B8"/>
    <w:rsid w:val="00C2124E"/>
    <w:rsid w:val="00C21C15"/>
    <w:rsid w:val="00C26D7C"/>
    <w:rsid w:val="00C33825"/>
    <w:rsid w:val="00C349DF"/>
    <w:rsid w:val="00C34D97"/>
    <w:rsid w:val="00C37255"/>
    <w:rsid w:val="00C40F35"/>
    <w:rsid w:val="00C42EA9"/>
    <w:rsid w:val="00C45DB2"/>
    <w:rsid w:val="00C460F8"/>
    <w:rsid w:val="00C508FB"/>
    <w:rsid w:val="00C515E8"/>
    <w:rsid w:val="00C540EA"/>
    <w:rsid w:val="00C55218"/>
    <w:rsid w:val="00C55EA4"/>
    <w:rsid w:val="00C56B12"/>
    <w:rsid w:val="00C57AD3"/>
    <w:rsid w:val="00C63341"/>
    <w:rsid w:val="00C63779"/>
    <w:rsid w:val="00C63980"/>
    <w:rsid w:val="00C65449"/>
    <w:rsid w:val="00C73A25"/>
    <w:rsid w:val="00C82C87"/>
    <w:rsid w:val="00C83C3D"/>
    <w:rsid w:val="00C91615"/>
    <w:rsid w:val="00C96D18"/>
    <w:rsid w:val="00CA0682"/>
    <w:rsid w:val="00CA08B2"/>
    <w:rsid w:val="00CA21CC"/>
    <w:rsid w:val="00CA438E"/>
    <w:rsid w:val="00CA46B1"/>
    <w:rsid w:val="00CA5BFA"/>
    <w:rsid w:val="00CA7E4C"/>
    <w:rsid w:val="00CB4000"/>
    <w:rsid w:val="00CB7129"/>
    <w:rsid w:val="00CC2870"/>
    <w:rsid w:val="00CC336F"/>
    <w:rsid w:val="00CD1DE2"/>
    <w:rsid w:val="00CD2018"/>
    <w:rsid w:val="00CD3BFB"/>
    <w:rsid w:val="00CD51A8"/>
    <w:rsid w:val="00CD6D27"/>
    <w:rsid w:val="00CD6E69"/>
    <w:rsid w:val="00CE037A"/>
    <w:rsid w:val="00CE0E17"/>
    <w:rsid w:val="00CE563D"/>
    <w:rsid w:val="00CF0D94"/>
    <w:rsid w:val="00CF4526"/>
    <w:rsid w:val="00CF6F13"/>
    <w:rsid w:val="00D07FFC"/>
    <w:rsid w:val="00D207A5"/>
    <w:rsid w:val="00D20FBF"/>
    <w:rsid w:val="00D22C9B"/>
    <w:rsid w:val="00D2715B"/>
    <w:rsid w:val="00D27409"/>
    <w:rsid w:val="00D32D34"/>
    <w:rsid w:val="00D33825"/>
    <w:rsid w:val="00D33DE7"/>
    <w:rsid w:val="00D46451"/>
    <w:rsid w:val="00D4689B"/>
    <w:rsid w:val="00D46DEC"/>
    <w:rsid w:val="00D47BAD"/>
    <w:rsid w:val="00D47C7F"/>
    <w:rsid w:val="00D50F0F"/>
    <w:rsid w:val="00D52DEE"/>
    <w:rsid w:val="00D533A9"/>
    <w:rsid w:val="00D55972"/>
    <w:rsid w:val="00D55D85"/>
    <w:rsid w:val="00D6239B"/>
    <w:rsid w:val="00D63BD6"/>
    <w:rsid w:val="00D6485D"/>
    <w:rsid w:val="00D663A0"/>
    <w:rsid w:val="00D66A6D"/>
    <w:rsid w:val="00D71195"/>
    <w:rsid w:val="00D73C58"/>
    <w:rsid w:val="00D753C3"/>
    <w:rsid w:val="00D816F4"/>
    <w:rsid w:val="00D8205B"/>
    <w:rsid w:val="00D82AF9"/>
    <w:rsid w:val="00D8395F"/>
    <w:rsid w:val="00D941E8"/>
    <w:rsid w:val="00D96EDF"/>
    <w:rsid w:val="00D973FD"/>
    <w:rsid w:val="00DA0982"/>
    <w:rsid w:val="00DA14B2"/>
    <w:rsid w:val="00DB1FCC"/>
    <w:rsid w:val="00DB46C6"/>
    <w:rsid w:val="00DB6526"/>
    <w:rsid w:val="00DB6538"/>
    <w:rsid w:val="00DB77DE"/>
    <w:rsid w:val="00DC2ACE"/>
    <w:rsid w:val="00DC5212"/>
    <w:rsid w:val="00DC7955"/>
    <w:rsid w:val="00DD19AF"/>
    <w:rsid w:val="00DD1E48"/>
    <w:rsid w:val="00DD1FF3"/>
    <w:rsid w:val="00DD47FE"/>
    <w:rsid w:val="00DD506F"/>
    <w:rsid w:val="00DD50ED"/>
    <w:rsid w:val="00DD5E4A"/>
    <w:rsid w:val="00DD664F"/>
    <w:rsid w:val="00DE05D9"/>
    <w:rsid w:val="00DE362F"/>
    <w:rsid w:val="00DE61FA"/>
    <w:rsid w:val="00DE7522"/>
    <w:rsid w:val="00DF028D"/>
    <w:rsid w:val="00DF1092"/>
    <w:rsid w:val="00DF3AAE"/>
    <w:rsid w:val="00DF6FAC"/>
    <w:rsid w:val="00E01739"/>
    <w:rsid w:val="00E03D58"/>
    <w:rsid w:val="00E03FBD"/>
    <w:rsid w:val="00E04E0F"/>
    <w:rsid w:val="00E05D80"/>
    <w:rsid w:val="00E11F1C"/>
    <w:rsid w:val="00E176CF"/>
    <w:rsid w:val="00E21099"/>
    <w:rsid w:val="00E31FD3"/>
    <w:rsid w:val="00E33F9B"/>
    <w:rsid w:val="00E34486"/>
    <w:rsid w:val="00E34661"/>
    <w:rsid w:val="00E369F8"/>
    <w:rsid w:val="00E3791B"/>
    <w:rsid w:val="00E41FD9"/>
    <w:rsid w:val="00E50485"/>
    <w:rsid w:val="00E523B5"/>
    <w:rsid w:val="00E5281A"/>
    <w:rsid w:val="00E543CA"/>
    <w:rsid w:val="00E57C65"/>
    <w:rsid w:val="00E60686"/>
    <w:rsid w:val="00E72B35"/>
    <w:rsid w:val="00E7639A"/>
    <w:rsid w:val="00E855B6"/>
    <w:rsid w:val="00E8677C"/>
    <w:rsid w:val="00E87071"/>
    <w:rsid w:val="00E95A5C"/>
    <w:rsid w:val="00E95D97"/>
    <w:rsid w:val="00EA07D2"/>
    <w:rsid w:val="00EA275B"/>
    <w:rsid w:val="00EB02BC"/>
    <w:rsid w:val="00EB0459"/>
    <w:rsid w:val="00EB1C0C"/>
    <w:rsid w:val="00EB57EA"/>
    <w:rsid w:val="00EB61A5"/>
    <w:rsid w:val="00EB7B83"/>
    <w:rsid w:val="00EC1AFA"/>
    <w:rsid w:val="00EC4687"/>
    <w:rsid w:val="00EC4D48"/>
    <w:rsid w:val="00EC65BC"/>
    <w:rsid w:val="00ED6B61"/>
    <w:rsid w:val="00EF3B2F"/>
    <w:rsid w:val="00EF3FB3"/>
    <w:rsid w:val="00EF49CC"/>
    <w:rsid w:val="00EF5647"/>
    <w:rsid w:val="00F01BAA"/>
    <w:rsid w:val="00F0316F"/>
    <w:rsid w:val="00F042DC"/>
    <w:rsid w:val="00F050D0"/>
    <w:rsid w:val="00F0585B"/>
    <w:rsid w:val="00F10F33"/>
    <w:rsid w:val="00F131A4"/>
    <w:rsid w:val="00F2062B"/>
    <w:rsid w:val="00F232BA"/>
    <w:rsid w:val="00F312E0"/>
    <w:rsid w:val="00F33FC6"/>
    <w:rsid w:val="00F3682D"/>
    <w:rsid w:val="00F41992"/>
    <w:rsid w:val="00F42862"/>
    <w:rsid w:val="00F429B1"/>
    <w:rsid w:val="00F46EEF"/>
    <w:rsid w:val="00F506D1"/>
    <w:rsid w:val="00F51D2E"/>
    <w:rsid w:val="00F536F7"/>
    <w:rsid w:val="00F541B1"/>
    <w:rsid w:val="00F54296"/>
    <w:rsid w:val="00F5495A"/>
    <w:rsid w:val="00F55E6E"/>
    <w:rsid w:val="00F57702"/>
    <w:rsid w:val="00F65320"/>
    <w:rsid w:val="00F71326"/>
    <w:rsid w:val="00F7173D"/>
    <w:rsid w:val="00F71FDE"/>
    <w:rsid w:val="00F7201C"/>
    <w:rsid w:val="00F72597"/>
    <w:rsid w:val="00F7648F"/>
    <w:rsid w:val="00F81945"/>
    <w:rsid w:val="00F90F23"/>
    <w:rsid w:val="00F951FC"/>
    <w:rsid w:val="00FA09A6"/>
    <w:rsid w:val="00FA4B24"/>
    <w:rsid w:val="00FA4B4C"/>
    <w:rsid w:val="00FA6779"/>
    <w:rsid w:val="00FA7972"/>
    <w:rsid w:val="00FB1B63"/>
    <w:rsid w:val="00FB3898"/>
    <w:rsid w:val="00FC016D"/>
    <w:rsid w:val="00FC2413"/>
    <w:rsid w:val="00FC7152"/>
    <w:rsid w:val="00FD25BF"/>
    <w:rsid w:val="00FD4517"/>
    <w:rsid w:val="00FD4863"/>
    <w:rsid w:val="00FD601D"/>
    <w:rsid w:val="00FD684C"/>
    <w:rsid w:val="00FE1C04"/>
    <w:rsid w:val="00FE1DE6"/>
    <w:rsid w:val="00FE35A2"/>
    <w:rsid w:val="00FF1531"/>
    <w:rsid w:val="00FF3D5A"/>
    <w:rsid w:val="00FF56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3EE8"/>
  <w15:docId w15:val="{C2C5A8DC-8855-4B19-BE0A-7262FB52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2E"/>
  </w:style>
  <w:style w:type="paragraph" w:styleId="Heading3">
    <w:name w:val="heading 3"/>
    <w:basedOn w:val="Normal"/>
    <w:next w:val="Normal"/>
    <w:link w:val="Heading3Char"/>
    <w:uiPriority w:val="9"/>
    <w:unhideWhenUsed/>
    <w:qFormat/>
    <w:rsid w:val="00AF04AB"/>
    <w:pPr>
      <w:spacing w:after="0"/>
      <w:outlineLvl w:val="2"/>
    </w:pPr>
    <w:rPr>
      <w:rFonts w:ascii="Calibri" w:eastAsia="Calibri" w:hAnsi="Calibri" w:cs="Times New Roman"/>
      <w:b/>
      <w:color w:val="0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04AB"/>
    <w:rPr>
      <w:rFonts w:ascii="Calibri" w:eastAsia="Calibri" w:hAnsi="Calibri" w:cs="Times New Roman"/>
      <w:b/>
      <w:color w:val="008080"/>
      <w:sz w:val="28"/>
    </w:rPr>
  </w:style>
  <w:style w:type="character" w:styleId="CommentReference">
    <w:name w:val="annotation reference"/>
    <w:basedOn w:val="DefaultParagraphFont"/>
    <w:uiPriority w:val="99"/>
    <w:semiHidden/>
    <w:unhideWhenUsed/>
    <w:rsid w:val="000548A8"/>
    <w:rPr>
      <w:sz w:val="16"/>
      <w:szCs w:val="16"/>
    </w:rPr>
  </w:style>
  <w:style w:type="paragraph" w:styleId="CommentText">
    <w:name w:val="annotation text"/>
    <w:basedOn w:val="Normal"/>
    <w:link w:val="CommentTextChar"/>
    <w:uiPriority w:val="99"/>
    <w:semiHidden/>
    <w:unhideWhenUsed/>
    <w:rsid w:val="000548A8"/>
    <w:pPr>
      <w:spacing w:line="240" w:lineRule="auto"/>
    </w:pPr>
    <w:rPr>
      <w:sz w:val="20"/>
      <w:szCs w:val="20"/>
    </w:rPr>
  </w:style>
  <w:style w:type="character" w:customStyle="1" w:styleId="CommentTextChar">
    <w:name w:val="Comment Text Char"/>
    <w:basedOn w:val="DefaultParagraphFont"/>
    <w:link w:val="CommentText"/>
    <w:uiPriority w:val="99"/>
    <w:semiHidden/>
    <w:rsid w:val="000548A8"/>
    <w:rPr>
      <w:sz w:val="20"/>
      <w:szCs w:val="20"/>
    </w:rPr>
  </w:style>
  <w:style w:type="paragraph" w:styleId="CommentSubject">
    <w:name w:val="annotation subject"/>
    <w:basedOn w:val="CommentText"/>
    <w:next w:val="CommentText"/>
    <w:link w:val="CommentSubjectChar"/>
    <w:uiPriority w:val="99"/>
    <w:semiHidden/>
    <w:unhideWhenUsed/>
    <w:rsid w:val="000548A8"/>
    <w:rPr>
      <w:b/>
      <w:bCs/>
    </w:rPr>
  </w:style>
  <w:style w:type="character" w:customStyle="1" w:styleId="CommentSubjectChar">
    <w:name w:val="Comment Subject Char"/>
    <w:basedOn w:val="CommentTextChar"/>
    <w:link w:val="CommentSubject"/>
    <w:uiPriority w:val="99"/>
    <w:semiHidden/>
    <w:rsid w:val="000548A8"/>
    <w:rPr>
      <w:b/>
      <w:bCs/>
      <w:sz w:val="20"/>
      <w:szCs w:val="20"/>
    </w:rPr>
  </w:style>
  <w:style w:type="paragraph" w:styleId="BalloonText">
    <w:name w:val="Balloon Text"/>
    <w:basedOn w:val="Normal"/>
    <w:link w:val="BalloonTextChar"/>
    <w:uiPriority w:val="99"/>
    <w:semiHidden/>
    <w:unhideWhenUsed/>
    <w:rsid w:val="00054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8A8"/>
    <w:rPr>
      <w:rFonts w:ascii="Tahoma" w:hAnsi="Tahoma" w:cs="Tahoma"/>
      <w:sz w:val="16"/>
      <w:szCs w:val="16"/>
    </w:rPr>
  </w:style>
  <w:style w:type="paragraph" w:styleId="NormalWeb">
    <w:name w:val="Normal (Web)"/>
    <w:basedOn w:val="Normal"/>
    <w:uiPriority w:val="99"/>
    <w:semiHidden/>
    <w:unhideWhenUsed/>
    <w:rsid w:val="00EB045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cahillcm</dc:creator>
  <cp:lastModifiedBy>Frances X. Essex</cp:lastModifiedBy>
  <cp:revision>3</cp:revision>
  <cp:lastPrinted>2016-05-06T15:57:00Z</cp:lastPrinted>
  <dcterms:created xsi:type="dcterms:W3CDTF">2021-05-19T10:12:00Z</dcterms:created>
  <dcterms:modified xsi:type="dcterms:W3CDTF">2021-06-11T10:58:00Z</dcterms:modified>
</cp:coreProperties>
</file>